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04C25">
        <w:rPr>
          <w:rFonts w:ascii="Palatino Linotype" w:hAnsi="Palatino Linotype" w:cs="Arial"/>
          <w:b/>
        </w:rPr>
        <w:t>SÉPTIMA</w:t>
      </w:r>
      <w:r w:rsidRPr="00535456">
        <w:rPr>
          <w:rFonts w:ascii="Palatino Linotype" w:hAnsi="Palatino Linotype" w:cs="Arial"/>
          <w:b/>
        </w:rPr>
        <w:t xml:space="preserve"> SESIÓN ORDINARIA DE </w:t>
      </w:r>
      <w:r w:rsidR="00704C25">
        <w:rPr>
          <w:rFonts w:ascii="Palatino Linotype" w:hAnsi="Palatino Linotype" w:cs="Arial"/>
          <w:b/>
        </w:rPr>
        <w:t>VEINTE</w:t>
      </w:r>
      <w:r w:rsidR="004D5015">
        <w:rPr>
          <w:rFonts w:ascii="Palatino Linotype" w:hAnsi="Palatino Linotype" w:cs="Arial"/>
          <w:b/>
        </w:rPr>
        <w:t xml:space="preserv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962C2E">
        <w:rPr>
          <w:rFonts w:ascii="Palatino Linotype" w:hAnsi="Palatino Linotype" w:cs="Arial"/>
          <w:b/>
          <w:bCs/>
        </w:rPr>
        <w:t>633</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962C2E">
        <w:rPr>
          <w:rFonts w:ascii="Palatino Linotype" w:hAnsi="Palatino Linotype" w:cs="Arial"/>
          <w:b/>
          <w:bCs/>
        </w:rPr>
        <w:t>633</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962C2E">
        <w:rPr>
          <w:rFonts w:ascii="Palatino Linotype" w:hAnsi="Palatino Linotype" w:cs="Arial"/>
          <w:b/>
        </w:rPr>
        <w:t>JOSÉ GUADALUPE LUNA HERNÁNDEZ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522F0D" w:rsidRPr="00A65847" w:rsidRDefault="00522F0D" w:rsidP="00522F0D">
      <w:pPr>
        <w:spacing w:before="100" w:beforeAutospacing="1" w:after="100" w:afterAutospacing="1" w:line="360" w:lineRule="auto"/>
        <w:jc w:val="both"/>
        <w:rPr>
          <w:rFonts w:ascii="Palatino Linotype" w:hAnsi="Palatino Linotype"/>
        </w:rPr>
      </w:pPr>
      <w:r>
        <w:rPr>
          <w:rFonts w:ascii="Palatino Linotype" w:hAnsi="Palatino Linotype"/>
        </w:rPr>
        <w:t xml:space="preserve">Tal y como quedó precisado en los resultandos de la resolución materia del presente </w:t>
      </w:r>
      <w:proofErr w:type="gramStart"/>
      <w:r>
        <w:rPr>
          <w:rFonts w:ascii="Palatino Linotype" w:hAnsi="Palatino Linotype"/>
        </w:rPr>
        <w:t>voto</w:t>
      </w:r>
      <w:proofErr w:type="gramEnd"/>
      <w:r>
        <w:rPr>
          <w:rFonts w:ascii="Palatino Linotype" w:hAnsi="Palatino Linotype"/>
        </w:rPr>
        <w:t xml:space="preserve">, el particular requirió del Poder Judicial, en lo sucesivo </w:t>
      </w:r>
      <w:r w:rsidRPr="007F3CA3">
        <w:rPr>
          <w:rFonts w:ascii="Palatino Linotype" w:hAnsi="Palatino Linotype"/>
          <w:b/>
        </w:rPr>
        <w:t>EL SUJETO OBLIGADO</w:t>
      </w:r>
      <w:r>
        <w:rPr>
          <w:rFonts w:ascii="Palatino Linotype" w:hAnsi="Palatino Linotype"/>
        </w:rPr>
        <w:t xml:space="preserve">, </w:t>
      </w:r>
      <w:r w:rsidRPr="007F3CA3">
        <w:rPr>
          <w:rFonts w:ascii="Palatino Linotype" w:hAnsi="Palatino Linotype"/>
        </w:rPr>
        <w:lastRenderedPageBreak/>
        <w:t xml:space="preserve">la versión pública del juicio ordinario civil y ejecutivo mercantil </w:t>
      </w:r>
      <w:r w:rsidRPr="00A65847">
        <w:rPr>
          <w:rFonts w:ascii="Palatino Linotype" w:hAnsi="Palatino Linotype"/>
        </w:rPr>
        <w:t>número 145/2015 de índice del Juzgado Segundo Civil de Ecatepec.</w:t>
      </w:r>
    </w:p>
    <w:p w:rsidR="00522F0D" w:rsidRPr="00A65847" w:rsidRDefault="00522F0D" w:rsidP="00522F0D">
      <w:pPr>
        <w:spacing w:before="100" w:beforeAutospacing="1" w:after="100" w:afterAutospacing="1" w:line="360" w:lineRule="auto"/>
        <w:jc w:val="both"/>
        <w:rPr>
          <w:rFonts w:ascii="Palatino Linotype" w:hAnsi="Palatino Linotype" w:cs="Arial"/>
          <w:color w:val="000000" w:themeColor="text1"/>
        </w:rPr>
      </w:pPr>
      <w:r w:rsidRPr="00A65847">
        <w:rPr>
          <w:rFonts w:ascii="Palatino Linotype" w:hAnsi="Palatino Linotype"/>
        </w:rPr>
        <w:t xml:space="preserve">Al respecto, </w:t>
      </w:r>
      <w:r w:rsidRPr="00A65847">
        <w:rPr>
          <w:rFonts w:ascii="Palatino Linotype" w:hAnsi="Palatino Linotype"/>
          <w:b/>
        </w:rPr>
        <w:t>EL SUJETO OBLIGADO</w:t>
      </w:r>
      <w:r w:rsidRPr="00A65847">
        <w:rPr>
          <w:rFonts w:ascii="Palatino Linotype" w:hAnsi="Palatino Linotype"/>
        </w:rPr>
        <w:t xml:space="preserve"> respondió al particular que </w:t>
      </w:r>
      <w:r w:rsidRPr="00A65847">
        <w:rPr>
          <w:rFonts w:ascii="Palatino Linotype" w:hAnsi="Palatino Linotype" w:cs="Arial"/>
          <w:color w:val="000000" w:themeColor="text1"/>
        </w:rPr>
        <w:t>el expediente de referencia ya había causado estado; que contenía 95 hojas y que previo pago de los derechos correspondientes procedía su entrega, en términos de los artículos 174 y 175 de la Ley de Transparencia y Acceso a la Información del Estado de México y Municipios.</w:t>
      </w:r>
    </w:p>
    <w:p w:rsidR="00522F0D" w:rsidRPr="00A65847" w:rsidRDefault="00522F0D" w:rsidP="00522F0D">
      <w:pPr>
        <w:spacing w:before="100" w:beforeAutospacing="1" w:after="100" w:afterAutospacing="1" w:line="360" w:lineRule="auto"/>
        <w:jc w:val="both"/>
        <w:rPr>
          <w:rFonts w:ascii="Palatino Linotype" w:hAnsi="Palatino Linotype" w:cs="Arial"/>
          <w:color w:val="000000" w:themeColor="text1"/>
        </w:rPr>
      </w:pPr>
      <w:r w:rsidRPr="00A65847">
        <w:rPr>
          <w:rFonts w:ascii="Palatino Linotype" w:hAnsi="Palatino Linotype" w:cs="Arial"/>
          <w:color w:val="000000" w:themeColor="text1"/>
        </w:rPr>
        <w:t xml:space="preserve">Inconforme con dicha determinación, el hoy </w:t>
      </w:r>
      <w:r w:rsidRPr="00A65847">
        <w:rPr>
          <w:rFonts w:ascii="Palatino Linotype" w:hAnsi="Palatino Linotype" w:cs="Arial"/>
          <w:b/>
          <w:color w:val="000000" w:themeColor="text1"/>
        </w:rPr>
        <w:t>RECURRENTE</w:t>
      </w:r>
      <w:r w:rsidRPr="00A65847">
        <w:rPr>
          <w:rFonts w:ascii="Palatino Linotype" w:hAnsi="Palatino Linotype" w:cs="Arial"/>
          <w:color w:val="000000" w:themeColor="text1"/>
        </w:rPr>
        <w:t xml:space="preserve"> interpuso el medio de defensa correspondiente, en el cual manifestó, en lo que interesa, que la información debía ser entregada sin costo y en la vía elegida, esto es, a través del </w:t>
      </w:r>
      <w:r w:rsidRPr="00A65847">
        <w:rPr>
          <w:rFonts w:ascii="Palatino Linotype" w:hAnsi="Palatino Linotype" w:cs="Arial"/>
          <w:b/>
          <w:color w:val="000000" w:themeColor="text1"/>
        </w:rPr>
        <w:t>SAIMEX</w:t>
      </w:r>
      <w:r w:rsidRPr="00A65847">
        <w:rPr>
          <w:rFonts w:ascii="Palatino Linotype" w:hAnsi="Palatino Linotype" w:cs="Arial"/>
          <w:color w:val="000000" w:themeColor="text1"/>
        </w:rPr>
        <w:t>.</w:t>
      </w:r>
    </w:p>
    <w:p w:rsidR="00522F0D" w:rsidRPr="00A65847" w:rsidRDefault="00522F0D" w:rsidP="00522F0D">
      <w:pPr>
        <w:spacing w:before="100" w:beforeAutospacing="1" w:after="100" w:afterAutospacing="1" w:line="360" w:lineRule="auto"/>
        <w:jc w:val="both"/>
        <w:rPr>
          <w:rFonts w:ascii="Palatino Linotype" w:hAnsi="Palatino Linotype" w:cs="Arial"/>
          <w:color w:val="000000" w:themeColor="text1"/>
        </w:rPr>
      </w:pPr>
      <w:r w:rsidRPr="00A65847">
        <w:rPr>
          <w:rFonts w:ascii="Palatino Linotype" w:hAnsi="Palatino Linotype" w:cs="Arial"/>
          <w:color w:val="000000" w:themeColor="text1"/>
        </w:rPr>
        <w:t xml:space="preserve">Posteriormente, </w:t>
      </w:r>
      <w:r w:rsidRPr="00A65847">
        <w:rPr>
          <w:rFonts w:ascii="Palatino Linotype" w:hAnsi="Palatino Linotype" w:cs="Arial"/>
          <w:b/>
          <w:color w:val="000000" w:themeColor="text1"/>
        </w:rPr>
        <w:t>EL SUJETO OBLIGADO</w:t>
      </w:r>
      <w:r w:rsidRPr="00A65847">
        <w:rPr>
          <w:rFonts w:ascii="Palatino Linotype" w:hAnsi="Palatino Linotype" w:cs="Arial"/>
          <w:color w:val="000000" w:themeColor="text1"/>
        </w:rPr>
        <w:t xml:space="preserve"> rindió su Informe Justificado, en el cual reiteró su respuesta.</w:t>
      </w:r>
    </w:p>
    <w:p w:rsidR="00522F0D" w:rsidRDefault="00522F0D" w:rsidP="00522F0D">
      <w:pPr>
        <w:spacing w:before="100" w:beforeAutospacing="1" w:after="100" w:afterAutospacing="1" w:line="360" w:lineRule="auto"/>
        <w:jc w:val="both"/>
        <w:rPr>
          <w:rFonts w:ascii="Palatino Linotype" w:hAnsi="Palatino Linotype"/>
          <w:b/>
        </w:rPr>
      </w:pPr>
      <w:r>
        <w:rPr>
          <w:rFonts w:ascii="Palatino Linotype" w:hAnsi="Palatino Linotype"/>
        </w:rPr>
        <w:t xml:space="preserve">Bajo ese contexto, y previo análisis del fondo del asunto, la Ponencia Resolutora determinó que las razones o motivos de inconformidad devenían </w:t>
      </w:r>
      <w:r w:rsidRPr="00D05D7C">
        <w:rPr>
          <w:rFonts w:ascii="Palatino Linotype" w:hAnsi="Palatino Linotype"/>
        </w:rPr>
        <w:t>parcialmente fundadas</w:t>
      </w:r>
      <w:r>
        <w:rPr>
          <w:rFonts w:ascii="Palatino Linotype" w:hAnsi="Palatino Linotype"/>
        </w:rPr>
        <w:t xml:space="preserve">; por lo que, modificó la respuesta del </w:t>
      </w:r>
      <w:r w:rsidRPr="00D05D7C">
        <w:rPr>
          <w:rFonts w:ascii="Palatino Linotype" w:hAnsi="Palatino Linotype"/>
          <w:b/>
        </w:rPr>
        <w:t>SUJETO OBLIGADO</w:t>
      </w:r>
      <w:r>
        <w:rPr>
          <w:rFonts w:ascii="Palatino Linotype" w:hAnsi="Palatino Linotype"/>
        </w:rPr>
        <w:t xml:space="preserve"> y ordenó la entrega del expediente requerido, en versión pública, vía </w:t>
      </w:r>
      <w:r w:rsidRPr="00D05D7C">
        <w:rPr>
          <w:rFonts w:ascii="Palatino Linotype" w:hAnsi="Palatino Linotype"/>
          <w:b/>
        </w:rPr>
        <w:t>SAIMEX</w:t>
      </w:r>
      <w:r>
        <w:rPr>
          <w:rFonts w:ascii="Palatino Linotype" w:hAnsi="Palatino Linotype"/>
        </w:rPr>
        <w:t xml:space="preserve">, sin costo para </w:t>
      </w:r>
      <w:r w:rsidRPr="00A65847">
        <w:rPr>
          <w:rFonts w:ascii="Palatino Linotype" w:hAnsi="Palatino Linotype"/>
          <w:b/>
        </w:rPr>
        <w:t>EL RECURRENTE.</w:t>
      </w:r>
    </w:p>
    <w:p w:rsidR="00522F0D" w:rsidRDefault="00522F0D" w:rsidP="00522F0D">
      <w:pPr>
        <w:spacing w:before="100" w:beforeAutospacing="1" w:after="100" w:afterAutospacing="1" w:line="360" w:lineRule="auto"/>
        <w:jc w:val="both"/>
        <w:rPr>
          <w:rFonts w:ascii="Palatino Linotype" w:hAnsi="Palatino Linotype"/>
        </w:rPr>
      </w:pPr>
      <w:r>
        <w:rPr>
          <w:rFonts w:ascii="Palatino Linotype" w:hAnsi="Palatino Linotype"/>
        </w:rPr>
        <w:t xml:space="preserve">Derivado de lo anterior, la suscrita si bien comparte, en términos generales el estudio y sentido en que se resuelve el Recurso de Revisión, estima que la Ponencia Resolutora </w:t>
      </w:r>
      <w:r>
        <w:rPr>
          <w:rFonts w:ascii="Palatino Linotype" w:hAnsi="Palatino Linotype"/>
        </w:rPr>
        <w:lastRenderedPageBreak/>
        <w:t xml:space="preserve">debió ordenar la entrega sin costo de la sentencia recaída al expediente solicitado, por tratarse de una obligación de transparencia común del </w:t>
      </w:r>
      <w:r w:rsidRPr="00A65847">
        <w:rPr>
          <w:rFonts w:ascii="Palatino Linotype" w:hAnsi="Palatino Linotype"/>
          <w:b/>
        </w:rPr>
        <w:t>SUJETO OBLIGADO</w:t>
      </w:r>
      <w:r>
        <w:rPr>
          <w:rFonts w:ascii="Palatino Linotype" w:hAnsi="Palatino Linotype"/>
        </w:rPr>
        <w:t>; no así, los demás documentos y acuerdos contenidos en dicho expediente; en atención a que no existe fuente obligacional que lo constriña a contar con dicha información digitalizada.</w:t>
      </w:r>
    </w:p>
    <w:p w:rsidR="00522F0D" w:rsidRPr="00A65847" w:rsidRDefault="00522F0D" w:rsidP="00522F0D">
      <w:pPr>
        <w:spacing w:before="100" w:beforeAutospacing="1" w:after="100" w:afterAutospacing="1" w:line="360" w:lineRule="auto"/>
        <w:jc w:val="both"/>
        <w:rPr>
          <w:rFonts w:ascii="Palatino Linotype" w:hAnsi="Palatino Linotype"/>
        </w:rPr>
      </w:pPr>
      <w:r>
        <w:rPr>
          <w:rFonts w:ascii="Palatino Linotype" w:hAnsi="Palatino Linotype"/>
        </w:rPr>
        <w:t xml:space="preserve">Al respecto, cabe señalar que el artículo 96, fracción II de la Ley de Transparencia y Acceso a la Información Pública del Estado de México y Municipios establece que el Poder Judicial y el Tribunal </w:t>
      </w:r>
      <w:r w:rsidRPr="00A65847">
        <w:rPr>
          <w:rFonts w:ascii="Palatino Linotype" w:hAnsi="Palatino Linotype"/>
        </w:rPr>
        <w:t>de lo Contencioso Administrativo del Estado de México deben poner a disposición del público y actualizar las versiones públicas de las sentencias que sean de interés público. Sirve de referencia el artículo en comento:</w:t>
      </w:r>
    </w:p>
    <w:p w:rsidR="00522F0D" w:rsidRPr="00EA42ED" w:rsidRDefault="00522F0D" w:rsidP="00EA42ED">
      <w:pPr>
        <w:spacing w:before="100" w:beforeAutospacing="1" w:after="100" w:afterAutospacing="1"/>
        <w:ind w:left="851" w:right="616"/>
        <w:jc w:val="both"/>
        <w:rPr>
          <w:rFonts w:ascii="Palatino Linotype" w:hAnsi="Palatino Linotype"/>
          <w:i/>
          <w:sz w:val="22"/>
        </w:rPr>
      </w:pPr>
      <w:r w:rsidRPr="00EA42ED">
        <w:rPr>
          <w:rFonts w:ascii="Palatino Linotype" w:hAnsi="Palatino Linotype"/>
          <w:i/>
          <w:sz w:val="22"/>
        </w:rPr>
        <w:t xml:space="preserve">“Artículo 96. Además de las obligaciones de transparencia común a que se refiere el Capítulo II de este Título, el Poder Judicial Local y el Tribunal de lo Contencioso Administrativo del Estado de México, deberán poner a disposición del público y actualizar la siguiente información: </w:t>
      </w:r>
    </w:p>
    <w:p w:rsidR="00522F0D" w:rsidRPr="00EA42ED" w:rsidRDefault="00522F0D" w:rsidP="00EA42ED">
      <w:pPr>
        <w:spacing w:before="100" w:beforeAutospacing="1" w:after="100" w:afterAutospacing="1"/>
        <w:ind w:left="851" w:right="616"/>
        <w:jc w:val="both"/>
        <w:rPr>
          <w:rFonts w:ascii="Palatino Linotype" w:hAnsi="Palatino Linotype"/>
          <w:i/>
          <w:sz w:val="22"/>
        </w:rPr>
      </w:pPr>
      <w:r w:rsidRPr="00EA42ED">
        <w:rPr>
          <w:rFonts w:ascii="Palatino Linotype" w:hAnsi="Palatino Linotype"/>
          <w:i/>
          <w:sz w:val="22"/>
        </w:rPr>
        <w:t>…</w:t>
      </w:r>
    </w:p>
    <w:p w:rsidR="00522F0D" w:rsidRPr="00EA42ED" w:rsidRDefault="00522F0D" w:rsidP="00EA42ED">
      <w:pPr>
        <w:spacing w:before="100" w:beforeAutospacing="1" w:after="100" w:afterAutospacing="1"/>
        <w:ind w:left="851" w:right="616"/>
        <w:jc w:val="both"/>
        <w:rPr>
          <w:rFonts w:ascii="Palatino Linotype" w:hAnsi="Palatino Linotype"/>
          <w:i/>
          <w:sz w:val="22"/>
        </w:rPr>
      </w:pPr>
      <w:r w:rsidRPr="00EA42ED">
        <w:rPr>
          <w:rFonts w:ascii="Palatino Linotype" w:hAnsi="Palatino Linotype"/>
          <w:i/>
          <w:sz w:val="22"/>
        </w:rPr>
        <w:t>II. Las versiones públicas de las sentencias que sean de interés público…”</w:t>
      </w:r>
    </w:p>
    <w:p w:rsidR="00522F0D" w:rsidRPr="003B7B74" w:rsidRDefault="00522F0D" w:rsidP="00522F0D">
      <w:pPr>
        <w:spacing w:before="100" w:beforeAutospacing="1" w:after="100" w:afterAutospacing="1" w:line="360" w:lineRule="auto"/>
        <w:ind w:right="616"/>
        <w:jc w:val="both"/>
        <w:rPr>
          <w:rFonts w:ascii="Palatino Linotype" w:hAnsi="Palatino Linotype"/>
        </w:rPr>
      </w:pPr>
      <w:r>
        <w:rPr>
          <w:rFonts w:ascii="Palatino Linotype" w:hAnsi="Palatino Linotype"/>
        </w:rPr>
        <w:t xml:space="preserve">Ahora bien, por cuanto hace a las demás actuaciones que se contienen en un expediente judicial, a suscrita estima que </w:t>
      </w:r>
      <w:r w:rsidRPr="003B7B74">
        <w:rPr>
          <w:rFonts w:ascii="Palatino Linotype" w:hAnsi="Palatino Linotype"/>
        </w:rPr>
        <w:t xml:space="preserve">debe observarse lo señalado en los artículos 9, fracción III, 17, 174 y 175 </w:t>
      </w:r>
      <w:r w:rsidRPr="003B7B74">
        <w:rPr>
          <w:rFonts w:ascii="Palatino Linotype" w:hAnsi="Palatino Linotype"/>
          <w:szCs w:val="17"/>
          <w:lang w:eastAsia="es-ES_tradnl"/>
        </w:rPr>
        <w:t>de la Ley de Transparencia y Acceso a la Información Pública del Estado de México y Municipios, los cuales se insertan a continuación:</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lastRenderedPageBreak/>
        <w:t>“</w:t>
      </w:r>
      <w:r w:rsidRPr="00EA42ED">
        <w:rPr>
          <w:rFonts w:ascii="Palatino Linotype" w:hAnsi="Palatino Linotype" w:cs="Arial"/>
          <w:b/>
          <w:bCs/>
          <w:i/>
          <w:sz w:val="22"/>
        </w:rPr>
        <w:t xml:space="preserve">Artículo 9. </w:t>
      </w:r>
      <w:r w:rsidRPr="00EA42ED">
        <w:rPr>
          <w:rFonts w:ascii="Palatino Linotype" w:hAnsi="Palatino Linotype" w:cs="Arial"/>
          <w:b/>
          <w:bCs/>
          <w:i/>
          <w:sz w:val="22"/>
          <w:u w:val="single"/>
        </w:rPr>
        <w:t>El Instituto deberá regir su funcionamiento de acuerdo a los siguientes principios</w:t>
      </w:r>
      <w:r w:rsidRPr="00EA42ED">
        <w:rPr>
          <w:rFonts w:ascii="Palatino Linotype" w:hAnsi="Palatino Linotype" w:cs="Arial"/>
          <w:bCs/>
          <w:i/>
          <w:sz w:val="22"/>
        </w:rPr>
        <w:t xml:space="preserve">: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
          <w:bCs/>
          <w:i/>
          <w:sz w:val="22"/>
        </w:rPr>
        <w:t>III. Gratuidad</w:t>
      </w:r>
      <w:r w:rsidRPr="00EA42ED">
        <w:rPr>
          <w:rFonts w:ascii="Palatino Linotype" w:hAnsi="Palatino Linotype" w:cs="Arial"/>
          <w:bCs/>
          <w:i/>
          <w:sz w:val="22"/>
        </w:rPr>
        <w:t xml:space="preserve">: Consiste en que el acceso a la información pública no genera costo alguno para los solicitantes, </w:t>
      </w:r>
      <w:r w:rsidRPr="00EA42ED">
        <w:rPr>
          <w:rFonts w:ascii="Palatino Linotype" w:hAnsi="Palatino Linotype" w:cs="Arial"/>
          <w:b/>
          <w:bCs/>
          <w:i/>
          <w:sz w:val="22"/>
          <w:u w:val="single"/>
        </w:rPr>
        <w:t>sólo podrá requerirse el cobro correspondiente a la modalidad de reproducción y entrega solicitada</w:t>
      </w:r>
      <w:r w:rsidRPr="00EA42ED">
        <w:rPr>
          <w:rFonts w:ascii="Palatino Linotype" w:hAnsi="Palatino Linotype" w:cs="Arial"/>
          <w:bCs/>
          <w:i/>
          <w:sz w:val="22"/>
        </w:rPr>
        <w:t xml:space="preserve"> conforme a lo establecido en la presente Ley y demás disposiciones jurídicas aplicables;</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
          <w:bCs/>
          <w:i/>
          <w:sz w:val="22"/>
          <w:u w:val="single"/>
        </w:rPr>
        <w:t>Artículo 17. La búsqueda y acceso a la información es gratuita y solo se cubrirán los gastos</w:t>
      </w:r>
      <w:r w:rsidRPr="00EA42ED">
        <w:rPr>
          <w:rFonts w:ascii="Palatino Linotype" w:hAnsi="Palatino Linotype" w:cs="Arial"/>
          <w:bCs/>
          <w:i/>
          <w:sz w:val="22"/>
        </w:rPr>
        <w:t xml:space="preserve"> de reproducción, o </w:t>
      </w:r>
      <w:r w:rsidRPr="00EA42ED">
        <w:rPr>
          <w:rFonts w:ascii="Palatino Linotype" w:hAnsi="Palatino Linotype" w:cs="Arial"/>
          <w:b/>
          <w:bCs/>
          <w:i/>
          <w:sz w:val="22"/>
          <w:u w:val="single"/>
        </w:rPr>
        <w:t>por la modalidad de entrega solicitada</w:t>
      </w:r>
      <w:r w:rsidRPr="00EA42ED">
        <w:rPr>
          <w:rFonts w:ascii="Palatino Linotype" w:hAnsi="Palatino Linotype" w:cs="Arial"/>
          <w:bCs/>
          <w:i/>
          <w:sz w:val="22"/>
        </w:rPr>
        <w:t xml:space="preserve">, así como por el envío, </w:t>
      </w:r>
      <w:r w:rsidRPr="00EA42ED">
        <w:rPr>
          <w:rFonts w:ascii="Palatino Linotype" w:hAnsi="Palatino Linotype" w:cs="Arial"/>
          <w:b/>
          <w:bCs/>
          <w:i/>
          <w:sz w:val="22"/>
          <w:u w:val="single"/>
        </w:rPr>
        <w:t>que en su caso se genere, de conformidad con los derechos</w:t>
      </w:r>
      <w:r w:rsidRPr="00EA42ED">
        <w:rPr>
          <w:rFonts w:ascii="Palatino Linotype" w:hAnsi="Palatino Linotype" w:cs="Arial"/>
          <w:bCs/>
          <w:i/>
          <w:sz w:val="22"/>
        </w:rPr>
        <w:t xml:space="preserve">, productos y aprovechamientos </w:t>
      </w:r>
      <w:r w:rsidRPr="00EA42ED">
        <w:rPr>
          <w:rFonts w:ascii="Palatino Linotype" w:hAnsi="Palatino Linotype" w:cs="Arial"/>
          <w:b/>
          <w:bCs/>
          <w:i/>
          <w:sz w:val="22"/>
          <w:u w:val="single"/>
        </w:rPr>
        <w:t>establecidos en la legislación aplicable</w:t>
      </w:r>
      <w:r w:rsidRPr="00EA42ED">
        <w:rPr>
          <w:rFonts w:ascii="Palatino Linotype" w:hAnsi="Palatino Linotype" w:cs="Arial"/>
          <w:bCs/>
          <w:i/>
          <w:sz w:val="22"/>
        </w:rPr>
        <w:t xml:space="preserve">, sin que exceda de los límites establecidos en la presente Ley.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
          <w:bCs/>
          <w:i/>
          <w:sz w:val="22"/>
        </w:rPr>
        <w:t>Artículo 174</w:t>
      </w:r>
      <w:r w:rsidRPr="00EA42ED">
        <w:rPr>
          <w:rFonts w:ascii="Palatino Linotype" w:hAnsi="Palatino Linotype" w:cs="Arial"/>
          <w:bCs/>
          <w:i/>
          <w:sz w:val="22"/>
        </w:rPr>
        <w:t xml:space="preserve">. </w:t>
      </w:r>
      <w:r w:rsidRPr="00EA42ED">
        <w:rPr>
          <w:rFonts w:ascii="Palatino Linotype" w:hAnsi="Palatino Linotype" w:cs="Arial"/>
          <w:b/>
          <w:bCs/>
          <w:i/>
          <w:sz w:val="22"/>
          <w:u w:val="single"/>
        </w:rPr>
        <w:t>En caso de existir costos para obtener la información deberán cubrirse de manera previa a la entrega</w:t>
      </w:r>
      <w:r w:rsidRPr="00EA42ED">
        <w:rPr>
          <w:rFonts w:ascii="Palatino Linotype" w:hAnsi="Palatino Linotype" w:cs="Arial"/>
          <w:b/>
          <w:bCs/>
          <w:i/>
          <w:sz w:val="22"/>
        </w:rPr>
        <w:t xml:space="preserve"> </w:t>
      </w:r>
      <w:r w:rsidRPr="00EA42ED">
        <w:rPr>
          <w:rFonts w:ascii="Palatino Linotype" w:hAnsi="Palatino Linotype" w:cs="Arial"/>
          <w:bCs/>
          <w:i/>
          <w:sz w:val="22"/>
        </w:rPr>
        <w:t xml:space="preserve">y no podrán ser superiores a la suma de: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 xml:space="preserve">I. El costo de los materiales utilizados en la reproducción de la información;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 xml:space="preserve">II. El costo de envío, en su caso; y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 xml:space="preserve">III. El pago de la certificación de los documentos, cuando proceda.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
          <w:bCs/>
          <w:i/>
          <w:sz w:val="22"/>
          <w:u w:val="single"/>
        </w:rPr>
        <w:t>Las cuotas de los derechos aplicables deberán establecerse, en su caso, en el Código Financiero del Estado de México y Municipios</w:t>
      </w:r>
      <w:r w:rsidRPr="00EA42ED">
        <w:rPr>
          <w:rFonts w:ascii="Palatino Linotype" w:hAnsi="Palatino Linotype" w:cs="Arial"/>
          <w:bCs/>
          <w:i/>
          <w:sz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 xml:space="preserve">Los sujetos obligados a los que no les sea aplicable el Código Financiero del Estado de México y Municipios deberán establecer cuotas que no sean mayores a las dispuestas en dicho ordenamiento.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
          <w:bCs/>
          <w:i/>
          <w:sz w:val="22"/>
        </w:rPr>
        <w:t xml:space="preserve">Artículo 175. </w:t>
      </w:r>
      <w:r w:rsidRPr="00EA42ED">
        <w:rPr>
          <w:rFonts w:ascii="Palatino Linotype" w:hAnsi="Palatino Linotype" w:cs="Arial"/>
          <w:b/>
          <w:bCs/>
          <w:i/>
          <w:sz w:val="22"/>
          <w:u w:val="single"/>
        </w:rPr>
        <w:t xml:space="preserve">La información que en términos de Ley deban publicar de manera obligatoria los sujetos obligados, o deba ser generada de manera </w:t>
      </w:r>
      <w:r w:rsidRPr="00EA42ED">
        <w:rPr>
          <w:rFonts w:ascii="Palatino Linotype" w:hAnsi="Palatino Linotype" w:cs="Arial"/>
          <w:b/>
          <w:bCs/>
          <w:i/>
          <w:sz w:val="22"/>
          <w:u w:val="single"/>
        </w:rPr>
        <w:lastRenderedPageBreak/>
        <w:t>electrónica</w:t>
      </w:r>
      <w:r w:rsidRPr="00EA42ED">
        <w:rPr>
          <w:rFonts w:ascii="Palatino Linotype" w:hAnsi="Palatino Linotype" w:cs="Arial"/>
          <w:bCs/>
          <w:i/>
          <w:sz w:val="22"/>
        </w:rPr>
        <w:t xml:space="preserve">, según lo dispongan las disposiciones legales o administrativas </w:t>
      </w:r>
      <w:r w:rsidRPr="00EA42ED">
        <w:rPr>
          <w:rFonts w:ascii="Palatino Linotype" w:hAnsi="Palatino Linotype" w:cs="Arial"/>
          <w:b/>
          <w:bCs/>
          <w:i/>
          <w:sz w:val="22"/>
          <w:u w:val="single"/>
        </w:rPr>
        <w:t>no podrá tener ningún costo</w:t>
      </w:r>
      <w:r w:rsidRPr="00EA42ED">
        <w:rPr>
          <w:rFonts w:ascii="Palatino Linotype" w:hAnsi="Palatino Linotype" w:cs="Arial"/>
          <w:bCs/>
          <w:i/>
          <w:sz w:val="22"/>
        </w:rPr>
        <w:t xml:space="preserve">, incluyendo aquella que se hubiera digitalizado previamente por cualquier motivo, en aquellos casos en que la modalidad de entrega sea por medio de la plataforma o vía electrónica. </w:t>
      </w:r>
    </w:p>
    <w:p w:rsidR="00522F0D" w:rsidRPr="00EA42ED" w:rsidRDefault="00522F0D" w:rsidP="00522F0D">
      <w:pPr>
        <w:spacing w:before="120" w:after="120"/>
        <w:ind w:left="851" w:right="899"/>
        <w:jc w:val="both"/>
        <w:rPr>
          <w:rFonts w:ascii="Palatino Linotype" w:hAnsi="Palatino Linotype" w:cs="Arial"/>
          <w:bCs/>
          <w:i/>
          <w:sz w:val="22"/>
        </w:rPr>
      </w:pPr>
      <w:r w:rsidRPr="00EA42ED">
        <w:rPr>
          <w:rFonts w:ascii="Palatino Linotype" w:hAnsi="Palatino Linotype" w:cs="Arial"/>
          <w:bCs/>
          <w:i/>
          <w:sz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522F0D" w:rsidRPr="00EA42ED" w:rsidRDefault="00522F0D" w:rsidP="00522F0D">
      <w:pPr>
        <w:spacing w:before="120" w:after="120"/>
        <w:ind w:left="851" w:right="899"/>
        <w:jc w:val="both"/>
        <w:rPr>
          <w:rFonts w:ascii="Palatino Linotype" w:hAnsi="Palatino Linotype" w:cs="Arial"/>
          <w:sz w:val="22"/>
        </w:rPr>
      </w:pPr>
      <w:r w:rsidRPr="00EA42ED">
        <w:rPr>
          <w:rFonts w:ascii="Palatino Linotype" w:hAnsi="Palatino Linotype" w:cs="Arial"/>
          <w:sz w:val="22"/>
        </w:rPr>
        <w:t>(Énfasis añadido)</w:t>
      </w:r>
    </w:p>
    <w:p w:rsidR="00522F0D" w:rsidRPr="003B7B74" w:rsidRDefault="00522F0D" w:rsidP="00522F0D">
      <w:pPr>
        <w:spacing w:before="200" w:after="200" w:line="360" w:lineRule="auto"/>
        <w:jc w:val="both"/>
        <w:rPr>
          <w:rFonts w:ascii="Palatino Linotype" w:hAnsi="Palatino Linotype"/>
        </w:rPr>
      </w:pPr>
      <w:r w:rsidRPr="003B7B74">
        <w:rPr>
          <w:rFonts w:ascii="Palatino Linotype" w:hAnsi="Palatino Linotype"/>
        </w:rPr>
        <w:t>De la transcripción anterior se advierte que, contrario a lo señalado por</w:t>
      </w:r>
      <w:r>
        <w:rPr>
          <w:rFonts w:ascii="Palatino Linotype" w:hAnsi="Palatino Linotype"/>
        </w:rPr>
        <w:t xml:space="preserve"> la Ponencia Resolutora</w:t>
      </w:r>
      <w:r w:rsidRPr="003B7B74">
        <w:rPr>
          <w:rFonts w:ascii="Palatino Linotype" w:hAnsi="Palatino Linotype"/>
        </w:rPr>
        <w:t xml:space="preserve">, si bien el ejercicio del derecho al acceso a la información pública es gratuito, también lo es que, con motivo de la modalidad de entrega que haya sido elegida, deben cubrirse los montos de los costos y gastos generados, para realizar la entrega de la información, bajo dicha modalidad; siendo la excepción a dicho cobro, los siguientes supuestos: </w:t>
      </w:r>
      <w:r w:rsidRPr="003B7B74">
        <w:rPr>
          <w:rFonts w:ascii="Palatino Linotype" w:hAnsi="Palatino Linotype"/>
          <w:b/>
        </w:rPr>
        <w:t>a)</w:t>
      </w:r>
      <w:r w:rsidRPr="003B7B74">
        <w:rPr>
          <w:rFonts w:ascii="Palatino Linotype" w:hAnsi="Palatino Linotype"/>
        </w:rPr>
        <w:t xml:space="preserve"> Se trate de información que deba </w:t>
      </w:r>
      <w:r w:rsidRPr="003B7B74">
        <w:rPr>
          <w:rFonts w:ascii="Palatino Linotype" w:hAnsi="Palatino Linotype"/>
          <w:b/>
        </w:rPr>
        <w:t>publicarse de manera obligatoria</w:t>
      </w:r>
      <w:r w:rsidRPr="003B7B74">
        <w:rPr>
          <w:rFonts w:ascii="Palatino Linotype" w:hAnsi="Palatino Linotype"/>
        </w:rPr>
        <w:t xml:space="preserve"> por parte de los Sujetos Obligados; o </w:t>
      </w:r>
      <w:r w:rsidRPr="003B7B74">
        <w:rPr>
          <w:rFonts w:ascii="Palatino Linotype" w:hAnsi="Palatino Linotype"/>
          <w:b/>
        </w:rPr>
        <w:t>b)</w:t>
      </w:r>
      <w:r w:rsidRPr="003B7B74">
        <w:rPr>
          <w:rFonts w:ascii="Palatino Linotype" w:hAnsi="Palatino Linotype"/>
        </w:rPr>
        <w:t xml:space="preserve"> Se trate de información que deba ser </w:t>
      </w:r>
      <w:r w:rsidRPr="003B7B74">
        <w:rPr>
          <w:rFonts w:ascii="Palatino Linotype" w:hAnsi="Palatino Linotype"/>
          <w:b/>
        </w:rPr>
        <w:t>generada</w:t>
      </w:r>
      <w:r w:rsidRPr="003B7B74">
        <w:rPr>
          <w:rFonts w:ascii="Palatino Linotype" w:hAnsi="Palatino Linotype"/>
        </w:rPr>
        <w:t xml:space="preserve"> </w:t>
      </w:r>
      <w:r w:rsidRPr="003B7B74">
        <w:rPr>
          <w:rFonts w:ascii="Palatino Linotype" w:hAnsi="Palatino Linotype"/>
          <w:b/>
        </w:rPr>
        <w:t>de manera electrónica</w:t>
      </w:r>
      <w:r w:rsidRPr="003B7B74">
        <w:rPr>
          <w:rFonts w:ascii="Palatino Linotype" w:hAnsi="Palatino Linotype"/>
        </w:rPr>
        <w:t>.</w:t>
      </w:r>
    </w:p>
    <w:p w:rsidR="00522F0D" w:rsidRDefault="00522F0D" w:rsidP="00522F0D">
      <w:pPr>
        <w:spacing w:before="200" w:after="200" w:line="360" w:lineRule="auto"/>
        <w:jc w:val="both"/>
        <w:rPr>
          <w:rFonts w:ascii="Palatino Linotype" w:hAnsi="Palatino Linotype"/>
          <w:szCs w:val="17"/>
          <w:lang w:eastAsia="es-ES_tradnl"/>
        </w:rPr>
      </w:pPr>
      <w:r w:rsidRPr="003B7B74">
        <w:rPr>
          <w:rFonts w:ascii="Palatino Linotype" w:hAnsi="Palatino Linotype"/>
        </w:rPr>
        <w:t xml:space="preserve">En tal sentido, debe precisarse que en los artículos </w:t>
      </w:r>
      <w:r>
        <w:rPr>
          <w:rFonts w:ascii="Palatino Linotype" w:hAnsi="Palatino Linotype"/>
        </w:rPr>
        <w:t>92 y</w:t>
      </w:r>
      <w:r w:rsidRPr="003B7B74">
        <w:rPr>
          <w:rFonts w:ascii="Palatino Linotype" w:hAnsi="Palatino Linotype"/>
        </w:rPr>
        <w:t xml:space="preserve"> 9</w:t>
      </w:r>
      <w:r>
        <w:rPr>
          <w:rFonts w:ascii="Palatino Linotype" w:hAnsi="Palatino Linotype"/>
        </w:rPr>
        <w:t>6</w:t>
      </w:r>
      <w:r w:rsidRPr="003B7B74">
        <w:rPr>
          <w:rFonts w:ascii="Palatino Linotype" w:hAnsi="Palatino Linotype"/>
        </w:rPr>
        <w:t xml:space="preserve"> </w:t>
      </w:r>
      <w:r w:rsidRPr="003B7B74">
        <w:rPr>
          <w:rFonts w:ascii="Palatino Linotype" w:hAnsi="Palatino Linotype"/>
          <w:szCs w:val="17"/>
          <w:lang w:eastAsia="es-ES_tradnl"/>
        </w:rPr>
        <w:t xml:space="preserve">de la Ley de Transparencia y Acceso a la Información Pública del Estado de México y Municipios, se contempla aquella información que debe ponerse a disposición del público de manera permanente y actualizada, en los medios electrónicos, siendo para tales efectos, el </w:t>
      </w:r>
      <w:r w:rsidRPr="003B7B74">
        <w:rPr>
          <w:rFonts w:ascii="Palatino Linotype" w:hAnsi="Palatino Linotype" w:cs="Arial"/>
        </w:rPr>
        <w:t xml:space="preserve">Portal de </w:t>
      </w:r>
      <w:r w:rsidRPr="003B7B74">
        <w:rPr>
          <w:rFonts w:ascii="Palatino Linotype" w:hAnsi="Palatino Linotype" w:cs="Arial"/>
          <w:color w:val="000000"/>
        </w:rPr>
        <w:t>Información Pública de Oficio Mexiquense (IPOMEX)</w:t>
      </w:r>
      <w:r w:rsidRPr="003B7B74">
        <w:rPr>
          <w:rFonts w:ascii="Palatino Linotype" w:hAnsi="Palatino Linotype"/>
          <w:szCs w:val="17"/>
          <w:lang w:eastAsia="es-ES_tradnl"/>
        </w:rPr>
        <w:t xml:space="preserve"> y la cual es conocida como obligaciones de transparencia común y específica, inherentes al</w:t>
      </w:r>
      <w:r w:rsidRPr="003B7B74">
        <w:rPr>
          <w:rFonts w:ascii="Palatino Linotype" w:hAnsi="Palatino Linotype"/>
          <w:b/>
          <w:szCs w:val="17"/>
          <w:lang w:eastAsia="es-ES_tradnl"/>
        </w:rPr>
        <w:t xml:space="preserve"> SUJETO OBLIGADO</w:t>
      </w:r>
      <w:r w:rsidRPr="003B7B74">
        <w:rPr>
          <w:rFonts w:ascii="Palatino Linotype" w:hAnsi="Palatino Linotype"/>
          <w:szCs w:val="17"/>
          <w:lang w:eastAsia="es-ES_tradnl"/>
        </w:rPr>
        <w:t>, de conformidad con las tablas de aplicabilidad, publicadas por este Órgano Garante</w:t>
      </w:r>
      <w:r>
        <w:rPr>
          <w:rFonts w:ascii="Palatino Linotype" w:hAnsi="Palatino Linotype"/>
          <w:szCs w:val="17"/>
          <w:lang w:eastAsia="es-ES_tradnl"/>
        </w:rPr>
        <w:t>,</w:t>
      </w:r>
      <w:r w:rsidRPr="003B7B74">
        <w:rPr>
          <w:rFonts w:ascii="Palatino Linotype" w:hAnsi="Palatino Linotype"/>
          <w:szCs w:val="17"/>
          <w:lang w:eastAsia="es-ES_tradnl"/>
        </w:rPr>
        <w:t xml:space="preserve"> </w:t>
      </w:r>
      <w:r w:rsidRPr="003B7B74">
        <w:rPr>
          <w:rFonts w:ascii="Palatino Linotype" w:hAnsi="Palatino Linotype"/>
          <w:szCs w:val="17"/>
          <w:lang w:eastAsia="es-ES_tradnl"/>
        </w:rPr>
        <w:lastRenderedPageBreak/>
        <w:t>en términos del artículo Noveno</w:t>
      </w:r>
      <w:r>
        <w:rPr>
          <w:rFonts w:ascii="Palatino Linotype" w:hAnsi="Palatino Linotype"/>
          <w:szCs w:val="17"/>
          <w:lang w:eastAsia="es-ES_tradnl"/>
        </w:rPr>
        <w:t>,</w:t>
      </w:r>
      <w:r w:rsidRPr="003B7B74">
        <w:rPr>
          <w:rFonts w:ascii="Palatino Linotype" w:hAnsi="Palatino Linotype"/>
          <w:szCs w:val="17"/>
          <w:lang w:eastAsia="es-ES_tradnl"/>
        </w:rPr>
        <w:t xml:space="preserve"> fracción III</w:t>
      </w:r>
      <w:r w:rsidRPr="003B7B74">
        <w:rPr>
          <w:rStyle w:val="Refdenotaalpie"/>
          <w:rFonts w:ascii="Palatino Linotype" w:hAnsi="Palatino Linotype"/>
          <w:szCs w:val="17"/>
          <w:lang w:eastAsia="es-ES_tradnl"/>
        </w:rPr>
        <w:footnoteReference w:id="1"/>
      </w:r>
      <w:r w:rsidRPr="003B7B74">
        <w:rPr>
          <w:rFonts w:ascii="Palatino Linotype" w:hAnsi="Palatino Linotype"/>
          <w:szCs w:val="17"/>
          <w:lang w:eastAsia="es-ES_tradnl"/>
        </w:rPr>
        <w:t xml:space="preserve">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w:t>
      </w:r>
      <w:r>
        <w:rPr>
          <w:rFonts w:ascii="Palatino Linotype" w:hAnsi="Palatino Linotype"/>
          <w:szCs w:val="17"/>
          <w:lang w:eastAsia="es-ES_tradnl"/>
        </w:rPr>
        <w:t>,</w:t>
      </w:r>
      <w:r w:rsidRPr="003B7B74">
        <w:rPr>
          <w:rFonts w:ascii="Palatino Linotype" w:hAnsi="Palatino Linotype"/>
          <w:szCs w:val="17"/>
          <w:lang w:eastAsia="es-ES_tradnl"/>
        </w:rPr>
        <w:t xml:space="preserve"> en los portales de Internet y en la Plataforma Nacional de Transparencia, en la liga electrónica </w:t>
      </w:r>
      <w:r w:rsidRPr="00EA42ED">
        <w:rPr>
          <w:rFonts w:ascii="Palatino Linotype" w:hAnsi="Palatino Linotype"/>
          <w:szCs w:val="17"/>
          <w:lang w:eastAsia="es-ES_tradnl"/>
        </w:rPr>
        <w:t>https://www.infoem.org.mx/doc/tablasAplicabilidad/III_PoderEjecutivo/Universidad%20Politecnica%20del%20Valle%20de%20Toluca.xlsx</w:t>
      </w:r>
      <w:r w:rsidRPr="003B7B74">
        <w:rPr>
          <w:rFonts w:ascii="Palatino Linotype" w:hAnsi="Palatino Linotype"/>
          <w:szCs w:val="17"/>
          <w:lang w:eastAsia="es-ES_tradnl"/>
        </w:rPr>
        <w:t xml:space="preserve">, de las que se advierte que en ninguna de ellas se encuentran la obligación de publicar en el referido Portal, </w:t>
      </w:r>
      <w:r>
        <w:rPr>
          <w:rFonts w:ascii="Palatino Linotype" w:hAnsi="Palatino Linotype"/>
          <w:szCs w:val="17"/>
          <w:lang w:eastAsia="es-ES_tradnl"/>
        </w:rPr>
        <w:t>la información solicitada.</w:t>
      </w:r>
    </w:p>
    <w:p w:rsidR="00522F0D" w:rsidRPr="007C38FF" w:rsidRDefault="00522F0D" w:rsidP="00522F0D">
      <w:pPr>
        <w:spacing w:before="200" w:after="200" w:line="360" w:lineRule="auto"/>
        <w:jc w:val="both"/>
        <w:rPr>
          <w:rFonts w:ascii="Palatino Linotype" w:hAnsi="Palatino Linotype" w:cs="Arial"/>
        </w:rPr>
      </w:pPr>
      <w:r w:rsidRPr="007C38FF">
        <w:rPr>
          <w:rFonts w:ascii="Palatino Linotype" w:hAnsi="Palatino Linotype"/>
        </w:rPr>
        <w:t xml:space="preserve">Asimismo, en relación a las facultades, atribuciones, funciones y competencias con las que cuenta </w:t>
      </w:r>
      <w:r w:rsidRPr="007C38FF">
        <w:rPr>
          <w:rFonts w:ascii="Palatino Linotype" w:hAnsi="Palatino Linotype"/>
          <w:b/>
        </w:rPr>
        <w:t>EL SUJETO OBLIGADO</w:t>
      </w:r>
      <w:r w:rsidRPr="007C38FF">
        <w:rPr>
          <w:rFonts w:ascii="Palatino Linotype" w:hAnsi="Palatino Linotype"/>
        </w:rPr>
        <w:t xml:space="preserve">, previstas en </w:t>
      </w:r>
      <w:r>
        <w:rPr>
          <w:rFonts w:ascii="Palatino Linotype" w:hAnsi="Palatino Linotype"/>
        </w:rPr>
        <w:t>la Ley Orgánica del Poder Judicial del Estado de México y sus Reglamentos internos;</w:t>
      </w:r>
      <w:r w:rsidRPr="007C38FF">
        <w:rPr>
          <w:rFonts w:ascii="Palatino Linotype" w:hAnsi="Palatino Linotype" w:cs="Arial"/>
        </w:rPr>
        <w:t xml:space="preserve"> del análisis realizado por esta Ponencia Resolutora, no se advierte alguna referente a obligación de digitalizar; así como, publicar en medios electrónicos </w:t>
      </w:r>
      <w:r>
        <w:rPr>
          <w:rFonts w:ascii="Palatino Linotype" w:hAnsi="Palatino Linotype" w:cs="Arial"/>
        </w:rPr>
        <w:t>la totalidad de actuaciones comprendidas en los expedientes de juicios ordinarios civiles o ejecutivos mercantiles</w:t>
      </w:r>
      <w:r w:rsidRPr="007C38FF">
        <w:rPr>
          <w:rFonts w:ascii="Palatino Linotype" w:hAnsi="Palatino Linotype" w:cs="Arial"/>
        </w:rPr>
        <w:t>.</w:t>
      </w:r>
    </w:p>
    <w:p w:rsidR="00522F0D" w:rsidRPr="007C38FF" w:rsidRDefault="00522F0D" w:rsidP="00522F0D">
      <w:pPr>
        <w:spacing w:before="200" w:after="200" w:line="360" w:lineRule="auto"/>
        <w:jc w:val="both"/>
        <w:rPr>
          <w:rFonts w:ascii="Palatino Linotype" w:hAnsi="Palatino Linotype"/>
          <w:szCs w:val="17"/>
          <w:lang w:eastAsia="es-ES_tradnl"/>
        </w:rPr>
      </w:pPr>
      <w:r w:rsidRPr="007C38FF">
        <w:rPr>
          <w:rFonts w:ascii="Palatino Linotype" w:hAnsi="Palatino Linotype" w:cs="Arial"/>
        </w:rPr>
        <w:lastRenderedPageBreak/>
        <w:t xml:space="preserve">Por tanto, la información requerida por el solicitante no actualiza los supuestos establecidos en el artículo 175 </w:t>
      </w:r>
      <w:r w:rsidRPr="007C38FF">
        <w:rPr>
          <w:rFonts w:ascii="Palatino Linotype" w:hAnsi="Palatino Linotype"/>
          <w:szCs w:val="17"/>
          <w:lang w:eastAsia="es-ES_tradnl"/>
        </w:rPr>
        <w:t>de la Ley de Transparencia y Acceso a la Información Pública del Estado de México y Municipios, por los cuales la entrega de la información solicitada en la modalidad elegida por el entonces solicitante no deba tener algún costo, por disposición legal o administrativa.</w:t>
      </w:r>
    </w:p>
    <w:p w:rsidR="00522F0D" w:rsidRPr="007C38FF" w:rsidRDefault="00522F0D" w:rsidP="00522F0D">
      <w:pPr>
        <w:spacing w:before="200" w:after="200" w:line="360" w:lineRule="auto"/>
        <w:jc w:val="both"/>
        <w:rPr>
          <w:rFonts w:ascii="Palatino Linotype" w:hAnsi="Palatino Linotype"/>
        </w:rPr>
      </w:pPr>
      <w:r w:rsidRPr="007C38FF">
        <w:rPr>
          <w:rFonts w:ascii="Palatino Linotype" w:hAnsi="Palatino Linotype"/>
          <w:szCs w:val="17"/>
          <w:lang w:eastAsia="es-ES_tradnl"/>
        </w:rPr>
        <w:t xml:space="preserve">En ese contexto, en virtud de lo estipulado en los artículos </w:t>
      </w:r>
      <w:r w:rsidRPr="007C38FF">
        <w:rPr>
          <w:rFonts w:ascii="Palatino Linotype" w:hAnsi="Palatino Linotype"/>
        </w:rPr>
        <w:t xml:space="preserve">9, fracción III, 17 y 174 </w:t>
      </w:r>
      <w:r w:rsidRPr="007C38FF">
        <w:rPr>
          <w:rFonts w:ascii="Palatino Linotype" w:hAnsi="Palatino Linotype"/>
          <w:szCs w:val="17"/>
          <w:lang w:eastAsia="es-ES_tradnl"/>
        </w:rPr>
        <w:t xml:space="preserve">de la Ley de Transparencia y Acceso a la Información Pública del Estado de México y Municipios, previamente citados, para proceder a la entrega de la información deben ser cubiertos por parte del hoy </w:t>
      </w:r>
      <w:r w:rsidRPr="007C38FF">
        <w:rPr>
          <w:rFonts w:ascii="Palatino Linotype" w:hAnsi="Palatino Linotype"/>
          <w:b/>
          <w:szCs w:val="17"/>
          <w:lang w:eastAsia="es-ES_tradnl"/>
        </w:rPr>
        <w:t>RECURRENTE</w:t>
      </w:r>
      <w:r w:rsidRPr="007C38FF">
        <w:rPr>
          <w:rFonts w:ascii="Palatino Linotype" w:hAnsi="Palatino Linotype"/>
          <w:szCs w:val="17"/>
          <w:lang w:eastAsia="es-ES_tradnl"/>
        </w:rPr>
        <w:t xml:space="preserve"> las cuotas de derechos aplicables en términos de lo establecido en los artículos 3, fracción XV y </w:t>
      </w:r>
      <w:r w:rsidRPr="007C38FF">
        <w:rPr>
          <w:rFonts w:ascii="Palatino Linotype" w:hAnsi="Palatino Linotype"/>
        </w:rPr>
        <w:t>73, fracción VI del Código Financiero del Estado de México y Municipios, mismos que se transcriben a continuación:</w:t>
      </w:r>
    </w:p>
    <w:p w:rsidR="00522F0D" w:rsidRPr="00EA42ED" w:rsidRDefault="00522F0D" w:rsidP="00EA42ED">
      <w:pPr>
        <w:spacing w:before="120" w:after="120"/>
        <w:ind w:left="709" w:right="709"/>
        <w:jc w:val="both"/>
        <w:rPr>
          <w:rFonts w:ascii="Palatino Linotype" w:hAnsi="Palatino Linotype" w:cs="Arial"/>
          <w:b/>
          <w:i/>
          <w:iCs/>
          <w:sz w:val="22"/>
          <w:szCs w:val="22"/>
        </w:rPr>
      </w:pPr>
      <w:r w:rsidRPr="00EA42ED">
        <w:rPr>
          <w:rFonts w:ascii="Palatino Linotype" w:hAnsi="Palatino Linotype" w:cs="Arial"/>
          <w:i/>
          <w:iCs/>
          <w:sz w:val="22"/>
          <w:szCs w:val="22"/>
        </w:rPr>
        <w:t>“</w:t>
      </w:r>
      <w:r w:rsidRPr="00EA42ED">
        <w:rPr>
          <w:rFonts w:ascii="Palatino Linotype" w:hAnsi="Palatino Linotype" w:cs="Arial"/>
          <w:b/>
          <w:i/>
          <w:iCs/>
          <w:sz w:val="22"/>
          <w:szCs w:val="22"/>
          <w:u w:val="single"/>
        </w:rPr>
        <w:t>Artículo 3.- Para efectos de este Código</w:t>
      </w:r>
      <w:r w:rsidRPr="00EA42ED">
        <w:rPr>
          <w:rFonts w:ascii="Palatino Linotype" w:hAnsi="Palatino Linotype" w:cs="Arial"/>
          <w:i/>
          <w:iCs/>
          <w:sz w:val="22"/>
          <w:szCs w:val="22"/>
        </w:rPr>
        <w:t xml:space="preserve">, Ley de Ingresos del Estado y del Presupuesto de Egresos </w:t>
      </w:r>
      <w:r w:rsidRPr="00EA42ED">
        <w:rPr>
          <w:rFonts w:ascii="Palatino Linotype" w:hAnsi="Palatino Linotype" w:cs="Arial"/>
          <w:b/>
          <w:i/>
          <w:iCs/>
          <w:sz w:val="22"/>
          <w:szCs w:val="22"/>
          <w:u w:val="single"/>
        </w:rPr>
        <w:t>se entenderá por</w:t>
      </w:r>
      <w:r w:rsidRPr="00EA42ED">
        <w:rPr>
          <w:rFonts w:ascii="Palatino Linotype" w:hAnsi="Palatino Linotype" w:cs="Arial"/>
          <w:b/>
          <w:i/>
          <w:iCs/>
          <w:sz w:val="22"/>
          <w:szCs w:val="22"/>
        </w:rPr>
        <w:t xml:space="preserve">: </w:t>
      </w:r>
    </w:p>
    <w:p w:rsidR="00522F0D" w:rsidRPr="00EA42ED" w:rsidRDefault="00522F0D" w:rsidP="00EA42ED">
      <w:pPr>
        <w:spacing w:before="120" w:after="120"/>
        <w:ind w:left="709" w:right="709"/>
        <w:jc w:val="both"/>
        <w:rPr>
          <w:rFonts w:ascii="Palatino Linotype" w:hAnsi="Palatino Linotype" w:cs="Arial"/>
          <w:i/>
          <w:iCs/>
          <w:sz w:val="22"/>
          <w:szCs w:val="22"/>
        </w:rPr>
      </w:pPr>
      <w:r w:rsidRPr="00EA42ED">
        <w:rPr>
          <w:rFonts w:ascii="Palatino Linotype" w:hAnsi="Palatino Linotype" w:cs="Arial"/>
          <w:i/>
          <w:iCs/>
          <w:sz w:val="22"/>
          <w:szCs w:val="22"/>
        </w:rPr>
        <w:t>[…]</w:t>
      </w:r>
    </w:p>
    <w:p w:rsidR="00522F0D" w:rsidRPr="00EA42ED" w:rsidRDefault="00522F0D" w:rsidP="00EA42ED">
      <w:pPr>
        <w:spacing w:before="120" w:after="120"/>
        <w:ind w:left="709" w:right="709"/>
        <w:jc w:val="both"/>
        <w:rPr>
          <w:rFonts w:ascii="Palatino Linotype" w:hAnsi="Palatino Linotype" w:cs="Arial"/>
          <w:i/>
          <w:iCs/>
          <w:sz w:val="22"/>
          <w:szCs w:val="22"/>
        </w:rPr>
      </w:pPr>
      <w:r w:rsidRPr="00EA42ED">
        <w:rPr>
          <w:rFonts w:ascii="Palatino Linotype" w:hAnsi="Palatino Linotype" w:cs="Arial"/>
          <w:b/>
          <w:i/>
          <w:iCs/>
          <w:sz w:val="22"/>
          <w:szCs w:val="22"/>
        </w:rPr>
        <w:t xml:space="preserve">XV. </w:t>
      </w:r>
      <w:r w:rsidRPr="00EA42ED">
        <w:rPr>
          <w:rFonts w:ascii="Palatino Linotype" w:hAnsi="Palatino Linotype" w:cs="Arial"/>
          <w:b/>
          <w:i/>
          <w:iCs/>
          <w:sz w:val="22"/>
          <w:szCs w:val="22"/>
          <w:u w:val="single"/>
        </w:rPr>
        <w:t>Estado. Al Estado Libre y Soberano de México</w:t>
      </w:r>
      <w:r w:rsidRPr="00EA42ED">
        <w:rPr>
          <w:rFonts w:ascii="Palatino Linotype" w:hAnsi="Palatino Linotype" w:cs="Arial"/>
          <w:i/>
          <w:iCs/>
          <w:sz w:val="22"/>
          <w:szCs w:val="22"/>
        </w:rPr>
        <w:t>.</w:t>
      </w:r>
    </w:p>
    <w:p w:rsidR="00522F0D" w:rsidRPr="00EA42ED" w:rsidRDefault="00522F0D" w:rsidP="00EA42ED">
      <w:pPr>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TÍTULO TERCERO</w:t>
      </w:r>
    </w:p>
    <w:p w:rsidR="00522F0D" w:rsidRPr="00EA42ED" w:rsidRDefault="00522F0D" w:rsidP="00EA42ED">
      <w:pPr>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 xml:space="preserve">DE LOS </w:t>
      </w:r>
      <w:r w:rsidRPr="00EA42ED">
        <w:rPr>
          <w:rFonts w:ascii="Palatino Linotype" w:hAnsi="Palatino Linotype" w:cs="Arial"/>
          <w:b/>
          <w:i/>
          <w:iCs/>
          <w:sz w:val="22"/>
          <w:szCs w:val="22"/>
          <w:u w:val="single"/>
        </w:rPr>
        <w:t>INGRESOS DEL ESTADO</w:t>
      </w:r>
    </w:p>
    <w:p w:rsidR="00522F0D" w:rsidRPr="00EA42ED" w:rsidRDefault="00522F0D" w:rsidP="00EA42ED">
      <w:pPr>
        <w:spacing w:before="240"/>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CAPÍTULO SEGUNDO</w:t>
      </w:r>
    </w:p>
    <w:p w:rsidR="00522F0D" w:rsidRPr="00EA42ED" w:rsidRDefault="00522F0D" w:rsidP="00EA42ED">
      <w:pPr>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DE LOS DERECHOS</w:t>
      </w:r>
    </w:p>
    <w:p w:rsidR="00522F0D" w:rsidRPr="00EA42ED" w:rsidRDefault="00522F0D" w:rsidP="00EA42ED">
      <w:pPr>
        <w:spacing w:before="240"/>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Sección Primera</w:t>
      </w:r>
    </w:p>
    <w:p w:rsidR="00522F0D" w:rsidRPr="00EA42ED" w:rsidRDefault="00522F0D" w:rsidP="00EA42ED">
      <w:pPr>
        <w:ind w:left="709" w:right="709"/>
        <w:jc w:val="center"/>
        <w:rPr>
          <w:rFonts w:ascii="Palatino Linotype" w:hAnsi="Palatino Linotype" w:cs="Arial"/>
          <w:i/>
          <w:iCs/>
          <w:sz w:val="22"/>
          <w:szCs w:val="22"/>
        </w:rPr>
      </w:pPr>
      <w:r w:rsidRPr="00EA42ED">
        <w:rPr>
          <w:rFonts w:ascii="Palatino Linotype" w:hAnsi="Palatino Linotype" w:cs="Arial"/>
          <w:i/>
          <w:iCs/>
          <w:sz w:val="22"/>
          <w:szCs w:val="22"/>
        </w:rPr>
        <w:t>Disposiciones Generales</w:t>
      </w:r>
    </w:p>
    <w:p w:rsidR="00522F0D" w:rsidRPr="00EA42ED" w:rsidRDefault="00522F0D" w:rsidP="00EA42ED">
      <w:pPr>
        <w:spacing w:before="120" w:after="120"/>
        <w:ind w:left="709" w:right="709"/>
        <w:jc w:val="both"/>
        <w:rPr>
          <w:rFonts w:ascii="Palatino Linotype" w:hAnsi="Palatino Linotype" w:cs="Arial"/>
          <w:i/>
          <w:iCs/>
          <w:sz w:val="22"/>
          <w:szCs w:val="22"/>
        </w:rPr>
      </w:pPr>
      <w:r w:rsidRPr="00EA42ED">
        <w:rPr>
          <w:rFonts w:ascii="Palatino Linotype" w:hAnsi="Palatino Linotype" w:cs="Arial"/>
          <w:b/>
          <w:i/>
          <w:iCs/>
          <w:sz w:val="22"/>
          <w:szCs w:val="22"/>
        </w:rPr>
        <w:t xml:space="preserve">Artículo 73.- Por </w:t>
      </w:r>
      <w:r w:rsidRPr="00EA42ED">
        <w:rPr>
          <w:rFonts w:ascii="Palatino Linotype" w:hAnsi="Palatino Linotype" w:cs="Arial"/>
          <w:b/>
          <w:i/>
          <w:iCs/>
          <w:sz w:val="22"/>
          <w:szCs w:val="22"/>
          <w:u w:val="single"/>
        </w:rPr>
        <w:t>la expedición de los siguientes documentos se pagarán</w:t>
      </w:r>
      <w:r w:rsidRPr="00EA42ED">
        <w:rPr>
          <w:rFonts w:ascii="Palatino Linotype" w:hAnsi="Palatino Linotype" w:cs="Arial"/>
          <w:i/>
          <w:iCs/>
          <w:sz w:val="22"/>
          <w:szCs w:val="22"/>
        </w:rPr>
        <w:t>:</w:t>
      </w:r>
    </w:p>
    <w:p w:rsidR="00522F0D" w:rsidRPr="00EA42ED" w:rsidRDefault="00522F0D" w:rsidP="00EA42ED">
      <w:pPr>
        <w:spacing w:before="120" w:after="120"/>
        <w:ind w:left="709" w:right="709"/>
        <w:jc w:val="center"/>
        <w:rPr>
          <w:rFonts w:ascii="Palatino Linotype" w:hAnsi="Palatino Linotype" w:cs="Arial"/>
          <w:b/>
          <w:i/>
          <w:iCs/>
          <w:sz w:val="22"/>
          <w:szCs w:val="22"/>
        </w:rPr>
      </w:pPr>
      <w:r w:rsidRPr="00EA42ED">
        <w:rPr>
          <w:rFonts w:ascii="Palatino Linotype" w:hAnsi="Palatino Linotype" w:cs="Arial"/>
          <w:b/>
          <w:i/>
          <w:iCs/>
          <w:sz w:val="22"/>
          <w:szCs w:val="22"/>
        </w:rPr>
        <w:lastRenderedPageBreak/>
        <w:t>TARIFA</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11"/>
      </w:tblGrid>
      <w:tr w:rsidR="00522F0D" w:rsidRPr="00EA42ED" w:rsidTr="00B663F8">
        <w:tc>
          <w:tcPr>
            <w:tcW w:w="7230" w:type="dxa"/>
          </w:tcPr>
          <w:p w:rsidR="00522F0D" w:rsidRPr="00EA42ED" w:rsidRDefault="00522F0D" w:rsidP="00EA42ED">
            <w:pPr>
              <w:jc w:val="both"/>
              <w:rPr>
                <w:rFonts w:ascii="Palatino Linotype" w:hAnsi="Palatino Linotype" w:cs="Arial"/>
                <w:b/>
                <w:i/>
                <w:iCs/>
                <w:sz w:val="22"/>
                <w:szCs w:val="22"/>
              </w:rPr>
            </w:pPr>
            <w:r w:rsidRPr="00EA42ED">
              <w:rPr>
                <w:rFonts w:ascii="Palatino Linotype" w:hAnsi="Palatino Linotype" w:cs="Arial"/>
                <w:b/>
                <w:i/>
                <w:iCs/>
                <w:sz w:val="22"/>
                <w:szCs w:val="22"/>
              </w:rPr>
              <w:t>CONCEPTO</w:t>
            </w:r>
          </w:p>
        </w:tc>
        <w:tc>
          <w:tcPr>
            <w:tcW w:w="708" w:type="dxa"/>
          </w:tcPr>
          <w:p w:rsidR="00522F0D" w:rsidRPr="00EA42ED" w:rsidRDefault="00522F0D" w:rsidP="00EA42ED">
            <w:pPr>
              <w:jc w:val="both"/>
              <w:rPr>
                <w:rFonts w:ascii="Palatino Linotype" w:hAnsi="Palatino Linotype" w:cs="Arial"/>
                <w:b/>
                <w:i/>
                <w:iCs/>
                <w:sz w:val="22"/>
                <w:szCs w:val="22"/>
              </w:rPr>
            </w:pPr>
          </w:p>
        </w:tc>
      </w:tr>
      <w:tr w:rsidR="00522F0D" w:rsidRPr="00EA42ED" w:rsidTr="00B663F8">
        <w:tc>
          <w:tcPr>
            <w:tcW w:w="7230" w:type="dxa"/>
          </w:tcPr>
          <w:p w:rsidR="00522F0D" w:rsidRPr="00EA42ED" w:rsidRDefault="00522F0D" w:rsidP="00EA42ED">
            <w:pPr>
              <w:jc w:val="both"/>
              <w:rPr>
                <w:rFonts w:ascii="Palatino Linotype" w:hAnsi="Palatino Linotype" w:cs="Arial"/>
                <w:i/>
                <w:iCs/>
                <w:sz w:val="22"/>
                <w:szCs w:val="22"/>
              </w:rPr>
            </w:pPr>
            <w:r w:rsidRPr="00EA42ED">
              <w:rPr>
                <w:rFonts w:ascii="Palatino Linotype" w:hAnsi="Palatino Linotype" w:cs="Arial"/>
                <w:i/>
                <w:iCs/>
                <w:sz w:val="22"/>
                <w:szCs w:val="22"/>
              </w:rPr>
              <w:t>[…]</w:t>
            </w:r>
          </w:p>
        </w:tc>
        <w:tc>
          <w:tcPr>
            <w:tcW w:w="708" w:type="dxa"/>
          </w:tcPr>
          <w:p w:rsidR="00522F0D" w:rsidRPr="00EA42ED" w:rsidRDefault="00522F0D" w:rsidP="00EA42ED">
            <w:pPr>
              <w:jc w:val="both"/>
              <w:rPr>
                <w:rFonts w:ascii="Palatino Linotype" w:hAnsi="Palatino Linotype" w:cs="Arial"/>
                <w:b/>
                <w:i/>
                <w:iCs/>
                <w:sz w:val="22"/>
                <w:szCs w:val="22"/>
              </w:rPr>
            </w:pPr>
          </w:p>
        </w:tc>
      </w:tr>
      <w:tr w:rsidR="00522F0D" w:rsidRPr="00EA42ED" w:rsidTr="00B663F8">
        <w:tc>
          <w:tcPr>
            <w:tcW w:w="7230" w:type="dxa"/>
          </w:tcPr>
          <w:p w:rsidR="00522F0D" w:rsidRPr="00EA42ED" w:rsidRDefault="00522F0D" w:rsidP="00EA42ED">
            <w:pPr>
              <w:jc w:val="both"/>
              <w:rPr>
                <w:rFonts w:ascii="Palatino Linotype" w:hAnsi="Palatino Linotype" w:cs="Arial"/>
                <w:i/>
                <w:iCs/>
                <w:sz w:val="22"/>
                <w:szCs w:val="22"/>
              </w:rPr>
            </w:pPr>
            <w:r w:rsidRPr="00EA42ED">
              <w:rPr>
                <w:rFonts w:ascii="Palatino Linotype" w:hAnsi="Palatino Linotype" w:cs="Arial"/>
                <w:b/>
                <w:i/>
                <w:iCs/>
                <w:sz w:val="22"/>
                <w:szCs w:val="22"/>
              </w:rPr>
              <w:t xml:space="preserve">VI. </w:t>
            </w:r>
            <w:r w:rsidRPr="00EA42ED">
              <w:rPr>
                <w:rFonts w:ascii="Palatino Linotype" w:hAnsi="Palatino Linotype" w:cs="Arial"/>
                <w:b/>
                <w:i/>
                <w:iCs/>
                <w:sz w:val="22"/>
                <w:szCs w:val="22"/>
                <w:u w:val="single"/>
              </w:rPr>
              <w:t>Por el escaneo y digitalización de cada hoja</w:t>
            </w:r>
            <w:r w:rsidRPr="00EA42ED">
              <w:rPr>
                <w:rFonts w:ascii="Palatino Linotype" w:hAnsi="Palatino Linotype" w:cs="Arial"/>
                <w:b/>
                <w:i/>
                <w:iCs/>
                <w:sz w:val="22"/>
                <w:szCs w:val="22"/>
              </w:rPr>
              <w:t xml:space="preserve"> </w:t>
            </w:r>
            <w:r w:rsidRPr="00EA42ED">
              <w:rPr>
                <w:rFonts w:ascii="Palatino Linotype" w:hAnsi="Palatino Linotype" w:cs="Arial"/>
                <w:i/>
                <w:iCs/>
                <w:sz w:val="22"/>
                <w:szCs w:val="22"/>
              </w:rPr>
              <w:t xml:space="preserve">relativa a los documentos </w:t>
            </w:r>
            <w:r w:rsidRPr="00EA42ED">
              <w:rPr>
                <w:rFonts w:ascii="Palatino Linotype" w:hAnsi="Palatino Linotype" w:cs="Arial"/>
                <w:b/>
                <w:i/>
                <w:iCs/>
                <w:sz w:val="22"/>
                <w:szCs w:val="22"/>
                <w:u w:val="single"/>
              </w:rPr>
              <w:t>que sean entregados por vía electrónica</w:t>
            </w:r>
            <w:r w:rsidRPr="00EA42ED">
              <w:rPr>
                <w:rFonts w:ascii="Palatino Linotype" w:hAnsi="Palatino Linotype" w:cs="Arial"/>
                <w:i/>
                <w:iCs/>
                <w:sz w:val="22"/>
                <w:szCs w:val="22"/>
              </w:rPr>
              <w:t>, en medio magnético o disco compacto.</w:t>
            </w:r>
          </w:p>
        </w:tc>
        <w:tc>
          <w:tcPr>
            <w:tcW w:w="708" w:type="dxa"/>
          </w:tcPr>
          <w:p w:rsidR="00522F0D" w:rsidRPr="00EA42ED" w:rsidRDefault="00522F0D" w:rsidP="00EA42ED">
            <w:pPr>
              <w:jc w:val="both"/>
              <w:rPr>
                <w:rFonts w:ascii="Palatino Linotype" w:hAnsi="Palatino Linotype" w:cs="Arial"/>
                <w:b/>
                <w:i/>
                <w:iCs/>
                <w:sz w:val="22"/>
                <w:szCs w:val="22"/>
              </w:rPr>
            </w:pPr>
            <w:r w:rsidRPr="00EA42ED">
              <w:rPr>
                <w:rFonts w:ascii="Palatino Linotype" w:hAnsi="Palatino Linotype" w:cs="Arial"/>
                <w:b/>
                <w:i/>
                <w:iCs/>
                <w:sz w:val="22"/>
                <w:szCs w:val="22"/>
              </w:rPr>
              <w:t>$0.60</w:t>
            </w:r>
          </w:p>
        </w:tc>
      </w:tr>
    </w:tbl>
    <w:p w:rsidR="00522F0D" w:rsidRPr="00EA42ED" w:rsidRDefault="00522F0D" w:rsidP="00EA42ED">
      <w:pPr>
        <w:spacing w:before="120" w:after="120"/>
        <w:ind w:left="709" w:right="709"/>
        <w:jc w:val="both"/>
        <w:rPr>
          <w:rFonts w:ascii="Palatino Linotype" w:hAnsi="Palatino Linotype" w:cs="Arial"/>
          <w:i/>
          <w:iCs/>
          <w:sz w:val="22"/>
          <w:szCs w:val="22"/>
        </w:rPr>
      </w:pPr>
      <w:r w:rsidRPr="00EA42ED">
        <w:rPr>
          <w:rFonts w:ascii="Palatino Linotype" w:hAnsi="Palatino Linotype" w:cs="Arial"/>
          <w:i/>
          <w:iCs/>
          <w:sz w:val="22"/>
          <w:szCs w:val="22"/>
        </w:rPr>
        <w:t>…”</w:t>
      </w:r>
    </w:p>
    <w:p w:rsidR="00522F0D" w:rsidRPr="00EA42ED" w:rsidRDefault="00522F0D" w:rsidP="00EA42ED">
      <w:pPr>
        <w:spacing w:before="120" w:after="120"/>
        <w:ind w:left="709" w:right="709"/>
        <w:jc w:val="both"/>
        <w:rPr>
          <w:rFonts w:ascii="Palatino Linotype" w:hAnsi="Palatino Linotype" w:cs="Arial"/>
          <w:sz w:val="22"/>
          <w:szCs w:val="22"/>
        </w:rPr>
      </w:pPr>
      <w:r w:rsidRPr="00EA42ED">
        <w:rPr>
          <w:rFonts w:ascii="Palatino Linotype" w:hAnsi="Palatino Linotype" w:cs="Arial"/>
          <w:sz w:val="22"/>
          <w:szCs w:val="22"/>
        </w:rPr>
        <w:t>(Énfasis añadido)</w:t>
      </w:r>
    </w:p>
    <w:p w:rsidR="00522F0D" w:rsidRDefault="00522F0D" w:rsidP="00522F0D">
      <w:pPr>
        <w:spacing w:before="100" w:beforeAutospacing="1" w:after="100" w:afterAutospacing="1" w:line="360" w:lineRule="auto"/>
        <w:jc w:val="both"/>
        <w:rPr>
          <w:rFonts w:ascii="Palatino Linotype" w:hAnsi="Palatino Linotype"/>
        </w:rPr>
      </w:pPr>
      <w:r w:rsidRPr="007C38FF">
        <w:rPr>
          <w:rFonts w:ascii="Palatino Linotype" w:hAnsi="Palatino Linotype"/>
        </w:rPr>
        <w:t xml:space="preserve">En esa tesitura, </w:t>
      </w:r>
      <w:r>
        <w:rPr>
          <w:rFonts w:ascii="Palatino Linotype" w:hAnsi="Palatino Linotype"/>
        </w:rPr>
        <w:t xml:space="preserve">la suscrita reitera que comparte, en términos generales el estudio y sentido en que se </w:t>
      </w:r>
      <w:r w:rsidR="00EA42ED">
        <w:rPr>
          <w:rFonts w:ascii="Palatino Linotype" w:hAnsi="Palatino Linotype"/>
        </w:rPr>
        <w:t>resuelve el Recurso de Revisión;</w:t>
      </w:r>
      <w:r>
        <w:rPr>
          <w:rFonts w:ascii="Palatino Linotype" w:hAnsi="Palatino Linotype"/>
        </w:rPr>
        <w:t xml:space="preserve"> sin embargo, estima que la Ponencia Resolutora debió </w:t>
      </w:r>
      <w:r w:rsidR="00EA42ED">
        <w:rPr>
          <w:rFonts w:ascii="Palatino Linotype" w:hAnsi="Palatino Linotype"/>
        </w:rPr>
        <w:t xml:space="preserve">analizar el </w:t>
      </w:r>
      <w:r>
        <w:rPr>
          <w:rFonts w:ascii="Palatino Linotype" w:hAnsi="Palatino Linotype"/>
        </w:rPr>
        <w:t xml:space="preserve">ordenar la entrega sin costo de la sentencia recaída al expediente solicitado; </w:t>
      </w:r>
      <w:r w:rsidR="00EA42ED">
        <w:rPr>
          <w:rFonts w:ascii="Palatino Linotype" w:hAnsi="Palatino Linotype"/>
        </w:rPr>
        <w:t xml:space="preserve">al verificar si se encuadra a la causal contenida en la fracción II del artículo 96 de la Ley de Transparencia y Acceso a la Información Pública del Estado de México y Municipios y respecto de </w:t>
      </w:r>
      <w:r>
        <w:rPr>
          <w:rFonts w:ascii="Palatino Linotype" w:hAnsi="Palatino Linotype"/>
        </w:rPr>
        <w:t>la totalidad de actuaciones que integran el expediente judicial</w:t>
      </w:r>
      <w:r w:rsidR="00EA42ED">
        <w:rPr>
          <w:rFonts w:ascii="Palatino Linotype" w:hAnsi="Palatino Linotype"/>
        </w:rPr>
        <w:t>,</w:t>
      </w:r>
      <w:r>
        <w:rPr>
          <w:rFonts w:ascii="Palatino Linotype" w:hAnsi="Palatino Linotype"/>
        </w:rPr>
        <w:t xml:space="preserve"> no existe fuente obligacional que constriña al </w:t>
      </w:r>
      <w:r w:rsidRPr="00226921">
        <w:rPr>
          <w:rFonts w:ascii="Palatino Linotype" w:hAnsi="Palatino Linotype"/>
          <w:b/>
        </w:rPr>
        <w:t>SUJETO OBLIGADO</w:t>
      </w:r>
      <w:r>
        <w:rPr>
          <w:rFonts w:ascii="Palatino Linotype" w:hAnsi="Palatino Linotype"/>
        </w:rPr>
        <w:t xml:space="preserve"> a contar con dicha información digitalizada</w:t>
      </w:r>
      <w:r w:rsidR="00EA42ED">
        <w:rPr>
          <w:rFonts w:ascii="Palatino Linotype" w:hAnsi="Palatino Linotype"/>
        </w:rPr>
        <w:t>; por lo que, se debió de ordenar la entrega, previo pago de los derechos correspondientes</w:t>
      </w:r>
      <w:r>
        <w:rPr>
          <w:rFonts w:ascii="Palatino Linotype" w:hAnsi="Palatino Linotype"/>
        </w:rPr>
        <w:t>.</w:t>
      </w:r>
    </w:p>
    <w:p w:rsidR="00051667" w:rsidRDefault="00051667" w:rsidP="00535456">
      <w:pPr>
        <w:jc w:val="center"/>
        <w:rPr>
          <w:rFonts w:ascii="Palatino Linotype" w:hAnsi="Palatino Linotype"/>
          <w:b/>
        </w:rPr>
      </w:pPr>
    </w:p>
    <w:p w:rsidR="00EF1342" w:rsidRDefault="00EF1342" w:rsidP="00535456">
      <w:pPr>
        <w:jc w:val="center"/>
        <w:rPr>
          <w:rFonts w:ascii="Palatino Linotype" w:hAnsi="Palatino Linotype"/>
          <w:b/>
        </w:rPr>
      </w:pPr>
    </w:p>
    <w:p w:rsidR="00EF1342" w:rsidRPr="00EF1342" w:rsidRDefault="00EF1342" w:rsidP="00535456">
      <w:pPr>
        <w:jc w:val="center"/>
        <w:rPr>
          <w:rFonts w:ascii="Palatino Linotype" w:hAnsi="Palatino Linotype"/>
          <w:b/>
          <w:sz w:val="10"/>
          <w:szCs w:val="10"/>
        </w:rPr>
      </w:pPr>
      <w:bookmarkStart w:id="0" w:name="_GoBack"/>
      <w:bookmarkEnd w:id="0"/>
    </w:p>
    <w:p w:rsidR="00670931" w:rsidRPr="00535456" w:rsidRDefault="00670931" w:rsidP="00535456">
      <w:pPr>
        <w:jc w:val="center"/>
        <w:rPr>
          <w:rFonts w:ascii="Palatino Linotype" w:hAnsi="Palatino Linotype"/>
          <w:b/>
        </w:rPr>
      </w:pPr>
      <w:r w:rsidRPr="00535456">
        <w:rPr>
          <w:rFonts w:ascii="Palatino Linotype" w:hAnsi="Palatino Linotype"/>
          <w:b/>
        </w:rPr>
        <w:t>EVA ABAID YAPUR</w:t>
      </w:r>
    </w:p>
    <w:p w:rsidR="00670931" w:rsidRDefault="00670931" w:rsidP="00535456">
      <w:pPr>
        <w:jc w:val="center"/>
        <w:rPr>
          <w:rFonts w:ascii="Palatino Linotype" w:hAnsi="Palatino Linotype"/>
          <w:b/>
        </w:rPr>
      </w:pPr>
      <w:r w:rsidRPr="00535456">
        <w:rPr>
          <w:rFonts w:ascii="Palatino Linotype" w:hAnsi="Palatino Linotype"/>
          <w:b/>
        </w:rPr>
        <w:t>COMISIONADA</w:t>
      </w:r>
    </w:p>
    <w:p w:rsidR="00FE5E48" w:rsidRPr="00FE5E48" w:rsidRDefault="00FE5E48" w:rsidP="00FE5E48">
      <w:pPr>
        <w:jc w:val="center"/>
        <w:rPr>
          <w:rFonts w:ascii="Palatino Linotype" w:hAnsi="Palatino Linotype"/>
          <w:b/>
        </w:rPr>
      </w:pPr>
      <w:r w:rsidRPr="00FE5E48">
        <w:rPr>
          <w:rFonts w:ascii="Palatino Linotype" w:hAnsi="Palatino Linotype"/>
          <w:b/>
        </w:rPr>
        <w:t>(RÚBRICA)</w:t>
      </w:r>
    </w:p>
    <w:p w:rsidR="00FE5E48" w:rsidRPr="00535456" w:rsidRDefault="00FE5E48" w:rsidP="00535456">
      <w:pPr>
        <w:jc w:val="center"/>
        <w:rPr>
          <w:rFonts w:ascii="Palatino Linotype" w:hAnsi="Palatino Linotype"/>
          <w:b/>
        </w:rPr>
      </w:pPr>
    </w:p>
    <w:p w:rsidR="00D36CA8" w:rsidRPr="00535456"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962C2E">
        <w:rPr>
          <w:rFonts w:ascii="Palatino Linotype" w:eastAsia="Calibri" w:hAnsi="Palatino Linotype" w:cs="Arial"/>
          <w:sz w:val="20"/>
        </w:rPr>
        <w:t>633</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D0" w:rsidRDefault="002A12D0" w:rsidP="00DB3A83">
      <w:r>
        <w:separator/>
      </w:r>
    </w:p>
  </w:endnote>
  <w:endnote w:type="continuationSeparator" w:id="0">
    <w:p w:rsidR="002A12D0" w:rsidRDefault="002A12D0"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F1342" w:rsidRDefault="00EF1342"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F1342">
    <w:pPr>
      <w:pStyle w:val="Piedepgina"/>
      <w:jc w:val="center"/>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E5E4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E5E48">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D0" w:rsidRDefault="002A12D0" w:rsidP="00DB3A83">
      <w:r>
        <w:separator/>
      </w:r>
    </w:p>
  </w:footnote>
  <w:footnote w:type="continuationSeparator" w:id="0">
    <w:p w:rsidR="002A12D0" w:rsidRDefault="002A12D0" w:rsidP="00DB3A83">
      <w:r>
        <w:continuationSeparator/>
      </w:r>
    </w:p>
  </w:footnote>
  <w:footnote w:id="1">
    <w:p w:rsidR="00522F0D" w:rsidRPr="00EA42ED" w:rsidRDefault="00522F0D" w:rsidP="00522F0D">
      <w:pPr>
        <w:pStyle w:val="Textonotapie"/>
        <w:spacing w:before="60" w:after="60"/>
        <w:jc w:val="both"/>
        <w:rPr>
          <w:rFonts w:ascii="Palatino Linotype" w:hAnsi="Palatino Linotype"/>
          <w:sz w:val="18"/>
          <w:szCs w:val="16"/>
        </w:rPr>
      </w:pPr>
      <w:r w:rsidRPr="00EA42ED">
        <w:rPr>
          <w:rStyle w:val="Refdenotaalpie"/>
          <w:rFonts w:ascii="Palatino Linotype" w:hAnsi="Palatino Linotype"/>
          <w:sz w:val="18"/>
        </w:rPr>
        <w:footnoteRef/>
      </w:r>
      <w:r w:rsidRPr="00EA42ED">
        <w:rPr>
          <w:rFonts w:ascii="Palatino Linotype" w:hAnsi="Palatino Linotype"/>
          <w:sz w:val="18"/>
        </w:rPr>
        <w:t xml:space="preserve"> </w:t>
      </w:r>
      <w:r w:rsidRPr="00EA42ED">
        <w:rPr>
          <w:rFonts w:ascii="Palatino Linotype" w:hAnsi="Palatino Linotype"/>
          <w:sz w:val="18"/>
          <w:szCs w:val="16"/>
        </w:rPr>
        <w:t>Noveno. Las políticas de aplicabilidad de la información son las siguientes:</w:t>
      </w:r>
    </w:p>
    <w:p w:rsidR="00522F0D" w:rsidRPr="00EA42ED" w:rsidRDefault="00522F0D" w:rsidP="00522F0D">
      <w:pPr>
        <w:pStyle w:val="Textonotapie"/>
        <w:spacing w:before="60" w:after="60"/>
        <w:jc w:val="both"/>
        <w:rPr>
          <w:rFonts w:ascii="Palatino Linotype" w:hAnsi="Palatino Linotype"/>
          <w:sz w:val="18"/>
          <w:szCs w:val="16"/>
        </w:rPr>
      </w:pPr>
      <w:r w:rsidRPr="00EA42ED">
        <w:rPr>
          <w:rFonts w:ascii="Palatino Linotype" w:hAnsi="Palatino Linotype"/>
          <w:sz w:val="18"/>
          <w:szCs w:val="16"/>
        </w:rPr>
        <w:t>[…]</w:t>
      </w:r>
    </w:p>
    <w:p w:rsidR="00522F0D" w:rsidRPr="00B06085" w:rsidRDefault="00522F0D" w:rsidP="00522F0D">
      <w:pPr>
        <w:pStyle w:val="Textonotapie"/>
        <w:spacing w:before="60" w:after="60"/>
        <w:jc w:val="both"/>
        <w:rPr>
          <w:rFonts w:ascii="Palatino Linotype" w:hAnsi="Palatino Linotype"/>
          <w:szCs w:val="16"/>
        </w:rPr>
      </w:pPr>
      <w:r w:rsidRPr="00EA42ED">
        <w:rPr>
          <w:rFonts w:ascii="Palatino Linotype" w:hAnsi="Palatino Linotype"/>
          <w:sz w:val="18"/>
          <w:szCs w:val="16"/>
        </w:rPr>
        <w:t>III. Los organismos garantes publicarán en su sección de Transparencia la Tabla de aplicabilidad de las Obligaciones de Transparencia comunes y específicas de todos los sujetos obligados que se incluyen en el padrón federal y de la Entidad Federativa que les corresponda. Por otra parte, los sujetos obligados publicarán la Tabla de aplicabilidad de las Obligaciones de Transparencia comunes y específicas que les corresponda individualmente, la cual deberá ser verificada y aprobada por el organismo garante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EF1342"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EF1342"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EF1342"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04633</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FE5E48"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08.25pt;height:87.8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A12D0"/>
    <w:rsid w:val="002C6DCC"/>
    <w:rsid w:val="002E01EA"/>
    <w:rsid w:val="002F7B17"/>
    <w:rsid w:val="00303EAE"/>
    <w:rsid w:val="00324EBE"/>
    <w:rsid w:val="00331542"/>
    <w:rsid w:val="00340950"/>
    <w:rsid w:val="00343E64"/>
    <w:rsid w:val="0037730C"/>
    <w:rsid w:val="00387039"/>
    <w:rsid w:val="0039638A"/>
    <w:rsid w:val="003A6BF6"/>
    <w:rsid w:val="003B0314"/>
    <w:rsid w:val="003C2F6A"/>
    <w:rsid w:val="003C5476"/>
    <w:rsid w:val="003F730A"/>
    <w:rsid w:val="00403656"/>
    <w:rsid w:val="004275EC"/>
    <w:rsid w:val="00437359"/>
    <w:rsid w:val="00445701"/>
    <w:rsid w:val="00460F1A"/>
    <w:rsid w:val="00464124"/>
    <w:rsid w:val="00474B93"/>
    <w:rsid w:val="00487B66"/>
    <w:rsid w:val="004B5C25"/>
    <w:rsid w:val="004B6DDA"/>
    <w:rsid w:val="004D5015"/>
    <w:rsid w:val="005124B3"/>
    <w:rsid w:val="00522F0D"/>
    <w:rsid w:val="0053148C"/>
    <w:rsid w:val="00535456"/>
    <w:rsid w:val="00536147"/>
    <w:rsid w:val="00553BC6"/>
    <w:rsid w:val="0057297A"/>
    <w:rsid w:val="00584608"/>
    <w:rsid w:val="005A4D7F"/>
    <w:rsid w:val="005B3099"/>
    <w:rsid w:val="005E5BA4"/>
    <w:rsid w:val="00623D4F"/>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608D4"/>
    <w:rsid w:val="00960ACD"/>
    <w:rsid w:val="00962C2E"/>
    <w:rsid w:val="00970770"/>
    <w:rsid w:val="009726DC"/>
    <w:rsid w:val="00990B93"/>
    <w:rsid w:val="009C2142"/>
    <w:rsid w:val="009F0C59"/>
    <w:rsid w:val="009F3E24"/>
    <w:rsid w:val="00A06423"/>
    <w:rsid w:val="00A12991"/>
    <w:rsid w:val="00A15DD9"/>
    <w:rsid w:val="00A2795F"/>
    <w:rsid w:val="00A517EA"/>
    <w:rsid w:val="00A82F41"/>
    <w:rsid w:val="00A863E9"/>
    <w:rsid w:val="00A95F70"/>
    <w:rsid w:val="00A96975"/>
    <w:rsid w:val="00AA09B9"/>
    <w:rsid w:val="00AA7C2A"/>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A42ED"/>
    <w:rsid w:val="00EB1D9E"/>
    <w:rsid w:val="00EE5465"/>
    <w:rsid w:val="00EF1342"/>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 w:val="00FE5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C717-A4CD-4D65-8EE4-87CE1B7A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1778</Words>
  <Characters>9780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2019-02-05T18:30:00Z</cp:lastPrinted>
  <dcterms:created xsi:type="dcterms:W3CDTF">2019-02-22T18:48:00Z</dcterms:created>
  <dcterms:modified xsi:type="dcterms:W3CDTF">2019-03-15T00:43:00Z</dcterms:modified>
</cp:coreProperties>
</file>